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6" w:rsidRP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b/>
          <w:noProof/>
          <w:spacing w:val="-3"/>
          <w:sz w:val="28"/>
          <w:szCs w:val="28"/>
        </w:rPr>
      </w:pPr>
      <w:r w:rsidRPr="00BA67C6">
        <w:rPr>
          <w:rFonts w:asciiTheme="minorHAnsi" w:hAnsiTheme="minorHAnsi" w:cs="Arial"/>
          <w:b/>
          <w:noProof/>
          <w:spacing w:val="-3"/>
          <w:sz w:val="28"/>
          <w:szCs w:val="28"/>
        </w:rPr>
        <w:t xml:space="preserve">De </w:t>
      </w:r>
      <w:r>
        <w:rPr>
          <w:rFonts w:asciiTheme="minorHAnsi" w:hAnsiTheme="minorHAnsi" w:cs="Arial"/>
          <w:b/>
          <w:noProof/>
          <w:spacing w:val="-3"/>
          <w:sz w:val="28"/>
          <w:szCs w:val="28"/>
        </w:rPr>
        <w:t xml:space="preserve">rijkste </w:t>
      </w:r>
      <w:r w:rsidRPr="00BA67C6">
        <w:rPr>
          <w:rFonts w:asciiTheme="minorHAnsi" w:hAnsiTheme="minorHAnsi" w:cs="Arial"/>
          <w:b/>
          <w:noProof/>
          <w:spacing w:val="-3"/>
          <w:sz w:val="28"/>
          <w:szCs w:val="28"/>
        </w:rPr>
        <w:t>Veghelaren in 1675</w:t>
      </w:r>
    </w:p>
    <w:p w:rsidR="00BA67C6" w:rsidRP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i/>
          <w:noProof/>
          <w:spacing w:val="-3"/>
          <w:sz w:val="22"/>
          <w:szCs w:val="22"/>
        </w:rPr>
      </w:pPr>
      <w:r w:rsidRPr="00BA67C6">
        <w:rPr>
          <w:rFonts w:asciiTheme="minorHAnsi" w:hAnsiTheme="minorHAnsi" w:cs="Arial"/>
          <w:i/>
          <w:noProof/>
          <w:spacing w:val="-3"/>
          <w:sz w:val="22"/>
          <w:szCs w:val="22"/>
        </w:rPr>
        <w:t>Martien van Asseldonk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pacing w:val="-3"/>
          <w:sz w:val="22"/>
          <w:szCs w:val="22"/>
        </w:rPr>
        <w:t>28 december 2014</w:t>
      </w:r>
    </w:p>
    <w:p w:rsidR="00B4310F" w:rsidRDefault="00B4310F" w:rsidP="00B431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Deze gegevens mogen gebruikt worden onder verwijzing naar: Martien van Asseldonk, www.oudzijtaart.nl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pacing w:val="-3"/>
          <w:sz w:val="22"/>
          <w:szCs w:val="22"/>
        </w:rPr>
        <w:t xml:space="preserve">Vanwege een eenmalige belasting werd op 6-5-1675 een lijst gemaakt van de personen die voor 2.000 gulden of meer gegoed waren in Veghel. De lijst telt 15 inwoners van Veghel en 18 buitendorpsen. 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pacing w:val="-3"/>
          <w:sz w:val="22"/>
          <w:szCs w:val="22"/>
        </w:rPr>
        <w:t>Veghelaren: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Mevrouwe van Erp 4000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Dries Dircx wonende opt Ven 2200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Dirck Martens sijn goet 2100 gulden (soo leen</w:t>
      </w:r>
      <w:r w:rsidR="004E799E">
        <w:rPr>
          <w:rFonts w:asciiTheme="minorHAnsi" w:hAnsiTheme="minorHAnsi" w:cs="Arial"/>
          <w:noProof/>
          <w:spacing w:val="-3"/>
          <w:sz w:val="22"/>
          <w:szCs w:val="22"/>
        </w:rPr>
        <w:t>-</w:t>
      </w: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 xml:space="preserve"> als andere goederen)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Weduwe van Michiel Donckers verclaert boven de lasten daer uijtgaende gegoeijt te sijn tot 2300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Jan Ariaens leen en andere goeden 2100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Jan Laurenssen verklaart gegoed te zijn en zijn renten aangebracht 2200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Jan Tonis Jacobs 2500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weduwe Catalijn Anthonis Jacobs 2200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pacing w:val="-3"/>
          <w:sz w:val="22"/>
          <w:szCs w:val="22"/>
        </w:rPr>
        <w:t>Magdalena weduwe van</w:t>
      </w: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 xml:space="preserve"> Dirck van der Hagen 2500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Joncker Jacob Albert Proeningh sijn goet aengebracht soo binnen alsoo buijten onsen dorpen gelegen 2550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T</w:t>
      </w:r>
      <w:r>
        <w:rPr>
          <w:rFonts w:asciiTheme="minorHAnsi" w:hAnsiTheme="minorHAnsi" w:cs="Arial"/>
          <w:noProof/>
          <w:spacing w:val="-3"/>
          <w:sz w:val="22"/>
          <w:szCs w:val="22"/>
        </w:rPr>
        <w:t>h</w:t>
      </w: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eodoris Ravenswaij resident alhier aengebracht voor juweelen ende huijsraet met sijnen meubelen 1500 gulden, niet wetende voorders waer sijne goederen sijn gelegen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Gerijt Pennincx verclaert gegoet te sijn 2000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Geraert Roeffs verclaert gegoet te sijn en sijn renten als landerijen en aengebracht hebbende getauxeert tot 2400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Jonker Lambert Millingh van Gerwen verklaart gegoed te zijn en uit renten te hebben aangebracht 2100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Michiel Gijsbers sijn goeden 2000 gulden</w:t>
      </w:r>
    </w:p>
    <w:p w:rsidR="00BA67C6" w:rsidRPr="000B39E5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>
        <w:rPr>
          <w:rFonts w:asciiTheme="minorHAnsi" w:hAnsiTheme="minorHAnsi" w:cs="Arial"/>
          <w:noProof/>
          <w:spacing w:val="-3"/>
          <w:sz w:val="22"/>
          <w:szCs w:val="22"/>
        </w:rPr>
        <w:t>Buitendorpsen: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ind w:left="720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Jonker jan Carel de Jeger goeden tot Roij en elders 5000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Goederen van Cornelis van Boxmeer onder Vechel gelegen verclaert ten Bosch overgebracht te hebben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Jonker Michiel de Jeger sijn goeden soo tot Roij als elders 2000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Jonker Philips de Jeger tot Seelst en elders 2000 gulden "Dese drij gebroeders woonende voor een jaer bij haer moij maer haer goederen sijn buijten gelegen"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Den erffenisse van Matheeus van Rohan gelegen aent Heeselaer bewoont bij Jacob van der Hagen verclaert ten Bosch aengebracht te hebben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Goederen van Peter Baudewijns bewoont bij Jan Dircx verclaert ten Bosch overgebracht te hebben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lastRenderedPageBreak/>
        <w:t>Goederen van Lenaert Pennincx gelegen op het Ham bewoont bij Heijman Hendricx verclaert sijn goet over gebracht te hebben tot Nuenen aldaer wonende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soene van Joncker Wijfliedt op Ham gelegen en bewoont bij Jacob Thijssen verclaert aangebracht te hebben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soene van Joncker Box gelegen op Sijttart, aangebracht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goederen van Joncker Baussel wonende tot Blertum bewoont bij Thijs Jan Thijssen gelegen aende Leeghe Heijde, en erf aen Sontvelt, bewoont bij Elias Peeters (aangebracht tot Blerthem)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goederen van Seigneur Gijssels gelegen op Sontvelt bewoond bij Jan Marten Donckers, aangebracht ten Bosch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hoeve eertijds toebehoort de cruijsbroeders, nu rentmeester Schuijl, gelegen in Dorshout, bewoond bij Tonis Jan Tonis ende toebehorende aent Landt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Gerijt Jan Matheeussen wonende onder Uden jaerlijcx heffende op de gemeijnt van Vechel de somme van 111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De goeden mevrouw Dirx, hare goederen bewoont bij Daniel van de Wiel en nog een erfenisse bewoond bij Arien Goossens int Dorshout en alhier drie clamepen tiende aengebracht ten Bosch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Mijn heer Broeckhoven heere van Novaimon drie clampen tienden gewerdeert tot 1500 gulden boven twee mudden roggen competerende aent landt met noch 250 gulden capitaal insgelijks aan het land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Mijn heer van de Velde wonende binnen Brussel van sijn goet bewoond bij Jan Thijssen gelegen tot Veghel aan aent Havelt boven de uitgaande lasten wesende jaerlijcx drij malder roggen &amp; eenen sester aen het lant te gelden 1500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Joncker Walraven van Erp wonende tot Broeckhoven buijten ons district verclaert sijn goeden alhier gelegen gewerdeert op 1500 gulden</w:t>
      </w:r>
    </w:p>
    <w:p w:rsidR="00BA67C6" w:rsidRPr="000B39E5" w:rsidRDefault="00BA67C6" w:rsidP="00BA67C6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  <w:r w:rsidRPr="000B39E5">
        <w:rPr>
          <w:rFonts w:asciiTheme="minorHAnsi" w:hAnsiTheme="minorHAnsi" w:cs="Arial"/>
          <w:noProof/>
          <w:spacing w:val="-3"/>
          <w:sz w:val="22"/>
          <w:szCs w:val="22"/>
        </w:rPr>
        <w:t>Wouter Janssen tot Uden met sijn swager hier uijt district woonende de goederen hier onder gelegen getauxeert tot 950 gulden</w:t>
      </w:r>
    </w:p>
    <w:p w:rsidR="00BA67C6" w:rsidRDefault="00BA67C6" w:rsidP="00BA67C6">
      <w:pPr>
        <w:tabs>
          <w:tab w:val="left" w:pos="-1440"/>
          <w:tab w:val="left" w:pos="-720"/>
        </w:tabs>
        <w:suppressAutoHyphens/>
        <w:spacing w:line="276" w:lineRule="auto"/>
        <w:rPr>
          <w:rFonts w:asciiTheme="minorHAnsi" w:hAnsiTheme="minorHAnsi" w:cs="Arial"/>
          <w:noProof/>
          <w:spacing w:val="-3"/>
          <w:sz w:val="22"/>
          <w:szCs w:val="22"/>
        </w:rPr>
      </w:pPr>
    </w:p>
    <w:p w:rsidR="00564EE1" w:rsidRDefault="00564EE1"/>
    <w:sectPr w:rsidR="00564EE1" w:rsidSect="00564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1FB3"/>
    <w:multiLevelType w:val="hybridMultilevel"/>
    <w:tmpl w:val="A3A6B3CC"/>
    <w:lvl w:ilvl="0" w:tplc="3F0403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20"/>
  <w:characterSpacingControl w:val="doNotCompress"/>
  <w:compat/>
  <w:rsids>
    <w:rsidRoot w:val="00BA67C6"/>
    <w:rsid w:val="004E799E"/>
    <w:rsid w:val="00564EE1"/>
    <w:rsid w:val="00B4310F"/>
    <w:rsid w:val="00BA67C6"/>
    <w:rsid w:val="00E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C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2014-12-28T08:43:00Z</dcterms:created>
  <dcterms:modified xsi:type="dcterms:W3CDTF">2016-06-05T05:37:00Z</dcterms:modified>
</cp:coreProperties>
</file>